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F23512">
        <w:rPr>
          <w:rFonts w:ascii="Times New Roman" w:hAnsi="Times New Roman"/>
          <w:b/>
          <w:sz w:val="28"/>
          <w:szCs w:val="28"/>
          <w:u w:val="single"/>
        </w:rPr>
        <w:t>М</w:t>
      </w:r>
      <w:r w:rsidR="007B5536" w:rsidRPr="00F23512">
        <w:rPr>
          <w:rFonts w:ascii="Times New Roman" w:hAnsi="Times New Roman"/>
          <w:b/>
          <w:sz w:val="28"/>
          <w:szCs w:val="28"/>
          <w:u w:val="single"/>
        </w:rPr>
        <w:t>ЕТОДИЧЕСКИЕ РЕКОМЕНДАЦИИ</w:t>
      </w:r>
    </w:p>
    <w:p w:rsidR="006242B5" w:rsidRPr="00F23512" w:rsidRDefault="007B5536" w:rsidP="00D557E0">
      <w:pPr>
        <w:ind w:firstLine="0"/>
        <w:jc w:val="center"/>
        <w:rPr>
          <w:rFonts w:ascii="Times New Roman" w:hAnsi="Times New Roman"/>
          <w:b/>
          <w:sz w:val="24"/>
          <w:szCs w:val="24"/>
        </w:rPr>
      </w:pPr>
      <w:r w:rsidRPr="00F23512">
        <w:rPr>
          <w:rFonts w:ascii="Times New Roman" w:hAnsi="Times New Roman"/>
          <w:b/>
          <w:sz w:val="24"/>
          <w:szCs w:val="24"/>
        </w:rPr>
        <w:t>ПО ВОПРОСАМ ПРЕДСТАВЛЕНИЯ СВЕДЕНИЙ</w:t>
      </w:r>
    </w:p>
    <w:p w:rsidR="000A3A5F" w:rsidRPr="00F23512" w:rsidRDefault="007B5536" w:rsidP="007B5536">
      <w:pPr>
        <w:ind w:firstLine="0"/>
        <w:jc w:val="center"/>
        <w:rPr>
          <w:rFonts w:ascii="Times New Roman" w:hAnsi="Times New Roman"/>
          <w:b/>
          <w:sz w:val="24"/>
          <w:szCs w:val="24"/>
        </w:rPr>
      </w:pPr>
      <w:r w:rsidRPr="00F23512">
        <w:rPr>
          <w:rFonts w:ascii="Times New Roman" w:hAnsi="Times New Roman"/>
          <w:b/>
          <w:sz w:val="24"/>
          <w:szCs w:val="24"/>
        </w:rPr>
        <w:t xml:space="preserve">О ДОХОДАХ, РАСХОДАХ, ОБ ИМУЩЕСТВЕ И ОБЯЗАТЕЛЬСТВАХ ИМУЩЕСТВЕННОГО ХАРАКТЕРА </w:t>
      </w:r>
      <w:r w:rsidR="00F23512" w:rsidRPr="00F23512">
        <w:rPr>
          <w:rFonts w:ascii="Times New Roman" w:hAnsi="Times New Roman"/>
          <w:b/>
          <w:sz w:val="24"/>
          <w:szCs w:val="24"/>
        </w:rPr>
        <w:t xml:space="preserve">МУНЦИИПАЛЬНЫМИ СЛУЖАЩИМИ </w:t>
      </w:r>
      <w:r w:rsidR="00F23512">
        <w:rPr>
          <w:rFonts w:ascii="Times New Roman" w:hAnsi="Times New Roman"/>
          <w:b/>
          <w:sz w:val="24"/>
          <w:szCs w:val="24"/>
        </w:rPr>
        <w:t>СОВЕТА</w:t>
      </w:r>
      <w:r w:rsidR="00F23512" w:rsidRPr="00F23512">
        <w:rPr>
          <w:rFonts w:ascii="Times New Roman" w:hAnsi="Times New Roman"/>
          <w:b/>
          <w:sz w:val="24"/>
          <w:szCs w:val="24"/>
        </w:rPr>
        <w:t xml:space="preserve"> ДЕПУТАТОВ КАЛИНИНСКОГО РАЙОНА ГОРОДА ЧЕЛЯБИНСКА И ЛИЦАМИ, ЗАМЕЩАЮЩИМИ МУНЦИИПАЛЬНЫЕ ДОЛЖНОСТИ И КАЛИНИНСКОГО РАЙОНА ГОРОДА ЧЕЛЯБИНСКА</w:t>
      </w:r>
      <w:r w:rsidR="00F23512">
        <w:rPr>
          <w:rFonts w:ascii="Times New Roman" w:hAnsi="Times New Roman"/>
          <w:b/>
          <w:sz w:val="24"/>
          <w:szCs w:val="24"/>
        </w:rPr>
        <w:t>,</w:t>
      </w:r>
      <w:r w:rsidR="00F23512" w:rsidRPr="00F23512">
        <w:rPr>
          <w:rFonts w:ascii="Times New Roman" w:hAnsi="Times New Roman"/>
          <w:b/>
          <w:sz w:val="24"/>
          <w:szCs w:val="24"/>
        </w:rPr>
        <w:t xml:space="preserve"> </w:t>
      </w:r>
      <w:r w:rsidRPr="00F23512">
        <w:rPr>
          <w:rFonts w:ascii="Times New Roman" w:hAnsi="Times New Roman"/>
          <w:b/>
          <w:sz w:val="24"/>
          <w:szCs w:val="24"/>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w:t>
      </w:r>
      <w:proofErr w:type="gramStart"/>
      <w:r w:rsidRPr="006F589C">
        <w:rPr>
          <w:rFonts w:ascii="Times New Roman" w:hAnsi="Times New Roman"/>
          <w:sz w:val="28"/>
          <w:szCs w:val="28"/>
        </w:rPr>
        <w:t>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Default="00CC44A0" w:rsidP="00CC44A0">
      <w:pPr>
        <w:pStyle w:val="aa"/>
        <w:ind w:left="567" w:firstLine="0"/>
        <w:rPr>
          <w:rFonts w:ascii="Times New Roman" w:hAnsi="Times New Roman"/>
          <w:sz w:val="28"/>
          <w:szCs w:val="28"/>
        </w:rPr>
      </w:pPr>
    </w:p>
    <w:p w:rsidR="00A706EC" w:rsidRDefault="00A706EC" w:rsidP="00CC44A0">
      <w:pPr>
        <w:pStyle w:val="aa"/>
        <w:ind w:left="567" w:firstLine="0"/>
        <w:rPr>
          <w:rFonts w:ascii="Times New Roman" w:hAnsi="Times New Roman"/>
          <w:sz w:val="28"/>
          <w:szCs w:val="28"/>
        </w:rPr>
      </w:pPr>
    </w:p>
    <w:p w:rsidR="00A706EC" w:rsidRDefault="00A706EC" w:rsidP="00CC44A0">
      <w:pPr>
        <w:pStyle w:val="aa"/>
        <w:ind w:left="567" w:firstLine="0"/>
        <w:rPr>
          <w:rFonts w:ascii="Times New Roman" w:hAnsi="Times New Roman"/>
          <w:sz w:val="28"/>
          <w:szCs w:val="28"/>
        </w:rPr>
      </w:pPr>
    </w:p>
    <w:p w:rsidR="00A706EC" w:rsidRPr="006F589C" w:rsidRDefault="00A706EC" w:rsidP="00CC44A0">
      <w:pPr>
        <w:pStyle w:val="aa"/>
        <w:ind w:left="567" w:firstLine="0"/>
        <w:rPr>
          <w:rFonts w:ascii="Times New Roman" w:hAnsi="Times New Roman"/>
          <w:sz w:val="28"/>
          <w:szCs w:val="28"/>
        </w:rPr>
      </w:pPr>
      <w:bookmarkStart w:id="0" w:name="_GoBack"/>
      <w:bookmarkEnd w:id="0"/>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lastRenderedPageBreak/>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w:t>
      </w:r>
      <w:r w:rsidR="00BB5EB9" w:rsidRPr="006F589C">
        <w:rPr>
          <w:rFonts w:ascii="Times New Roman" w:hAnsi="Times New Roman"/>
          <w:sz w:val="28"/>
        </w:rPr>
        <w:lastRenderedPageBreak/>
        <w:t xml:space="preserve">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AB" w:rsidRDefault="00230AAB" w:rsidP="00204BB5">
      <w:r>
        <w:separator/>
      </w:r>
    </w:p>
  </w:endnote>
  <w:endnote w:type="continuationSeparator" w:id="0">
    <w:p w:rsidR="00230AAB" w:rsidRDefault="00230AA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AB" w:rsidRDefault="00230AAB" w:rsidP="00204BB5">
      <w:r>
        <w:separator/>
      </w:r>
    </w:p>
  </w:footnote>
  <w:footnote w:type="continuationSeparator" w:id="0">
    <w:p w:rsidR="00230AAB" w:rsidRDefault="00230AA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12" w:rsidRDefault="00F23512">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A706EC">
      <w:rPr>
        <w:rFonts w:ascii="Times New Roman" w:hAnsi="Times New Roman"/>
        <w:noProof/>
        <w:sz w:val="28"/>
        <w:szCs w:val="28"/>
      </w:rPr>
      <w:t>51</w:t>
    </w:r>
    <w:r w:rsidRPr="00204BB5">
      <w:rPr>
        <w:rFonts w:ascii="Times New Roman" w:hAnsi="Times New Roman"/>
        <w:sz w:val="28"/>
        <w:szCs w:val="28"/>
      </w:rPr>
      <w:fldChar w:fldCharType="end"/>
    </w:r>
  </w:p>
  <w:p w:rsidR="00F23512" w:rsidRDefault="00F235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0AAB"/>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06EC"/>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512"/>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footnotes" Target="foot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settings" Target="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3C294FB-BF8D-490A-B98C-8FDAF4A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20750</Words>
  <Characters>118281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138754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2020-12-24T15:48:00Z</cp:lastPrinted>
  <dcterms:created xsi:type="dcterms:W3CDTF">2021-07-15T05:34:00Z</dcterms:created>
  <dcterms:modified xsi:type="dcterms:W3CDTF">2021-07-15T05:34:00Z</dcterms:modified>
</cp:coreProperties>
</file>